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F5AD" w14:textId="2684C93F" w:rsidR="00D334A0" w:rsidRPr="00B97369" w:rsidRDefault="00D334A0" w:rsidP="00D334A0">
      <w:pPr>
        <w:ind w:left="0" w:firstLine="0"/>
        <w:jc w:val="right"/>
        <w:rPr>
          <w:rFonts w:asciiTheme="minorHAnsi" w:hAnsiTheme="minorHAnsi" w:cstheme="minorHAnsi"/>
          <w:b/>
          <w:bCs/>
          <w:sz w:val="28"/>
          <w:szCs w:val="28"/>
        </w:rPr>
      </w:pPr>
      <w:r>
        <w:rPr>
          <w:rFonts w:asciiTheme="minorHAnsi" w:hAnsiTheme="minorHAnsi" w:cstheme="minorHAnsi"/>
          <w:b/>
          <w:bCs/>
          <w:sz w:val="28"/>
          <w:szCs w:val="28"/>
        </w:rPr>
        <w:t xml:space="preserve">The 502 Project – </w:t>
      </w:r>
      <w:proofErr w:type="spellStart"/>
      <w:r>
        <w:rPr>
          <w:rFonts w:asciiTheme="minorHAnsi" w:hAnsiTheme="minorHAnsi" w:cstheme="minorHAnsi"/>
          <w:b/>
          <w:bCs/>
          <w:sz w:val="28"/>
          <w:szCs w:val="28"/>
        </w:rPr>
        <w:t>GenCyber</w:t>
      </w:r>
      <w:proofErr w:type="spellEnd"/>
      <w:r>
        <w:rPr>
          <w:rFonts w:asciiTheme="minorHAnsi" w:hAnsiTheme="minorHAnsi" w:cstheme="minorHAnsi"/>
          <w:b/>
          <w:bCs/>
          <w:sz w:val="28"/>
          <w:szCs w:val="28"/>
        </w:rPr>
        <w:t xml:space="preserve"> 2024 Module</w:t>
      </w:r>
    </w:p>
    <w:p w14:paraId="4696B794" w14:textId="7F0C704B" w:rsidR="00D334A0" w:rsidRDefault="00D334A0" w:rsidP="00D334A0">
      <w:pPr>
        <w:ind w:left="0" w:firstLine="0"/>
        <w:jc w:val="right"/>
        <w:rPr>
          <w:rFonts w:asciiTheme="minorHAnsi" w:hAnsiTheme="minorHAnsi" w:cstheme="minorHAnsi"/>
        </w:rPr>
      </w:pPr>
      <w:r w:rsidRPr="005A0330">
        <w:rPr>
          <w:rFonts w:asciiTheme="minorHAnsi" w:hAnsiTheme="minorHAnsi" w:cstheme="minorHAnsi"/>
        </w:rPr>
        <w:t>P</w:t>
      </w:r>
      <w:r>
        <w:rPr>
          <w:rFonts w:asciiTheme="minorHAnsi" w:hAnsiTheme="minorHAnsi" w:cstheme="minorHAnsi"/>
        </w:rPr>
        <w:t>OC</w:t>
      </w:r>
      <w:r w:rsidRPr="005A0330">
        <w:rPr>
          <w:rFonts w:asciiTheme="minorHAnsi" w:hAnsiTheme="minorHAnsi" w:cstheme="minorHAnsi"/>
        </w:rPr>
        <w:t>: Nathan Fisk, Univers</w:t>
      </w:r>
      <w:r w:rsidR="00962FDD">
        <w:rPr>
          <w:rFonts w:asciiTheme="minorHAnsi" w:hAnsiTheme="minorHAnsi" w:cstheme="minorHAnsi"/>
        </w:rPr>
        <w:t>i</w:t>
      </w:r>
      <w:r w:rsidRPr="005A0330">
        <w:rPr>
          <w:rFonts w:asciiTheme="minorHAnsi" w:hAnsiTheme="minorHAnsi" w:cstheme="minorHAnsi"/>
        </w:rPr>
        <w:t>ty of South Florida</w:t>
      </w:r>
      <w:r w:rsidR="00962FDD">
        <w:rPr>
          <w:rFonts w:asciiTheme="minorHAnsi" w:hAnsiTheme="minorHAnsi" w:cstheme="minorHAnsi"/>
        </w:rPr>
        <w:t xml:space="preserve"> // </w:t>
      </w:r>
      <w:hyperlink r:id="rId5" w:history="1">
        <w:r w:rsidR="00962FDD" w:rsidRPr="008830D7">
          <w:rPr>
            <w:rStyle w:val="Hyperlink"/>
            <w:rFonts w:asciiTheme="minorHAnsi" w:hAnsiTheme="minorHAnsi" w:cstheme="minorHAnsi"/>
          </w:rPr>
          <w:t>fisk@usf.edu</w:t>
        </w:r>
      </w:hyperlink>
    </w:p>
    <w:p w14:paraId="328F5E47" w14:textId="5A9F347D" w:rsidR="001D0E4E" w:rsidRDefault="001D0E4E" w:rsidP="00D334A0">
      <w:pPr>
        <w:ind w:left="0" w:firstLine="0"/>
        <w:jc w:val="right"/>
        <w:rPr>
          <w:rFonts w:asciiTheme="minorHAnsi" w:hAnsiTheme="minorHAnsi" w:cstheme="minorHAnsi"/>
        </w:rPr>
      </w:pPr>
      <w:r>
        <w:rPr>
          <w:rFonts w:asciiTheme="minorHAnsi" w:hAnsiTheme="minorHAnsi" w:cstheme="minorHAnsi"/>
        </w:rPr>
        <w:t xml:space="preserve">Proposed Budget: </w:t>
      </w:r>
      <w:r w:rsidRPr="006E1D4C">
        <w:rPr>
          <w:rFonts w:asciiTheme="minorHAnsi" w:hAnsiTheme="minorHAnsi" w:cstheme="minorHAnsi"/>
          <w:b/>
          <w:bCs/>
        </w:rPr>
        <w:t>$</w:t>
      </w:r>
      <w:r w:rsidR="006E1D4C" w:rsidRPr="006E1D4C">
        <w:rPr>
          <w:rFonts w:asciiTheme="minorHAnsi" w:hAnsiTheme="minorHAnsi" w:cstheme="minorHAnsi"/>
          <w:b/>
          <w:bCs/>
        </w:rPr>
        <w:t>15,000</w:t>
      </w:r>
    </w:p>
    <w:p w14:paraId="28B0450E" w14:textId="77777777" w:rsidR="00D334A0" w:rsidRPr="00BA0E93" w:rsidRDefault="00D334A0" w:rsidP="00D334A0">
      <w:pPr>
        <w:pBdr>
          <w:bottom w:val="single" w:sz="6" w:space="1" w:color="auto"/>
        </w:pBdr>
        <w:ind w:left="0" w:firstLine="0"/>
        <w:jc w:val="right"/>
        <w:rPr>
          <w:rFonts w:asciiTheme="minorHAnsi" w:hAnsiTheme="minorHAnsi" w:cstheme="minorHAnsi"/>
          <w:b/>
          <w:bCs/>
        </w:rPr>
      </w:pPr>
    </w:p>
    <w:p w14:paraId="63B06986" w14:textId="40AD1267" w:rsidR="006E1D4C" w:rsidRDefault="006E1D4C" w:rsidP="00D334A0">
      <w:pPr>
        <w:spacing w:line="240" w:lineRule="auto"/>
        <w:ind w:left="0" w:firstLine="0"/>
        <w:rPr>
          <w:rFonts w:asciiTheme="minorHAnsi" w:hAnsiTheme="minorHAnsi" w:cstheme="minorHAnsi"/>
          <w:bCs/>
          <w:color w:val="E97132" w:themeColor="accent2"/>
        </w:rPr>
      </w:pPr>
    </w:p>
    <w:p w14:paraId="2C1B4CC5" w14:textId="35D8F884" w:rsidR="006E1D4C" w:rsidRPr="006E1D4C" w:rsidRDefault="006E1D4C" w:rsidP="00D334A0">
      <w:pPr>
        <w:spacing w:line="240" w:lineRule="auto"/>
        <w:ind w:left="0" w:firstLine="0"/>
        <w:rPr>
          <w:bCs/>
          <w:i/>
          <w:iCs/>
          <w:color w:val="auto"/>
        </w:rPr>
      </w:pPr>
      <w:r>
        <w:rPr>
          <w:rFonts w:asciiTheme="minorHAnsi" w:hAnsiTheme="minorHAnsi" w:cstheme="minorHAnsi"/>
          <w:bCs/>
          <w:i/>
          <w:iCs/>
          <w:color w:val="E97132" w:themeColor="accent2"/>
        </w:rPr>
        <w:t xml:space="preserve">Instructions: This is a draft statement for inclusion in 2024/2025 </w:t>
      </w:r>
      <w:proofErr w:type="spellStart"/>
      <w:r>
        <w:rPr>
          <w:rFonts w:asciiTheme="minorHAnsi" w:hAnsiTheme="minorHAnsi" w:cstheme="minorHAnsi"/>
          <w:bCs/>
          <w:i/>
          <w:iCs/>
          <w:color w:val="E97132" w:themeColor="accent2"/>
        </w:rPr>
        <w:t>GenCyber</w:t>
      </w:r>
      <w:proofErr w:type="spellEnd"/>
      <w:r>
        <w:rPr>
          <w:rFonts w:asciiTheme="minorHAnsi" w:hAnsiTheme="minorHAnsi" w:cstheme="minorHAnsi"/>
          <w:bCs/>
          <w:i/>
          <w:iCs/>
          <w:color w:val="E97132" w:themeColor="accent2"/>
        </w:rPr>
        <w:t xml:space="preserve"> proposals. This material is meant as a starting </w:t>
      </w:r>
      <w:proofErr w:type="gramStart"/>
      <w:r>
        <w:rPr>
          <w:rFonts w:asciiTheme="minorHAnsi" w:hAnsiTheme="minorHAnsi" w:cstheme="minorHAnsi"/>
          <w:bCs/>
          <w:i/>
          <w:iCs/>
          <w:color w:val="E97132" w:themeColor="accent2"/>
        </w:rPr>
        <w:t>point, and</w:t>
      </w:r>
      <w:proofErr w:type="gramEnd"/>
      <w:r>
        <w:rPr>
          <w:rFonts w:asciiTheme="minorHAnsi" w:hAnsiTheme="minorHAnsi" w:cstheme="minorHAnsi"/>
          <w:bCs/>
          <w:i/>
          <w:iCs/>
          <w:color w:val="E97132" w:themeColor="accent2"/>
        </w:rPr>
        <w:t xml:space="preserve"> may be slightly edited for length. For substantial edits to the below scope of work, please contact 502 Project program staff or Nathan Fisk to schedule a brief meeting.</w:t>
      </w:r>
    </w:p>
    <w:p w14:paraId="3EEF246C" w14:textId="77777777" w:rsidR="006E1D4C" w:rsidRDefault="006E1D4C" w:rsidP="00D334A0">
      <w:pPr>
        <w:spacing w:line="240" w:lineRule="auto"/>
        <w:ind w:left="0" w:firstLine="0"/>
        <w:rPr>
          <w:bCs/>
          <w:color w:val="auto"/>
        </w:rPr>
      </w:pPr>
    </w:p>
    <w:p w14:paraId="2F42B0D8" w14:textId="2E5CF351" w:rsidR="00D334A0" w:rsidRPr="00D334A0" w:rsidRDefault="00D334A0" w:rsidP="00D334A0">
      <w:pPr>
        <w:spacing w:line="240" w:lineRule="auto"/>
        <w:ind w:left="0" w:firstLine="0"/>
      </w:pPr>
      <w:r w:rsidRPr="00962FDD">
        <w:rPr>
          <w:bCs/>
          <w:color w:val="auto"/>
        </w:rPr>
        <w:t xml:space="preserve">The 502 Project is a </w:t>
      </w:r>
      <w:r w:rsidRPr="00962FDD">
        <w:rPr>
          <w:bCs/>
          <w:color w:val="auto"/>
        </w:rPr>
        <w:t>CAE-funded initiative</w:t>
      </w:r>
      <w:r w:rsidRPr="00962FDD">
        <w:rPr>
          <w:bCs/>
          <w:color w:val="auto"/>
        </w:rPr>
        <w:t xml:space="preserve"> </w:t>
      </w:r>
      <w:r w:rsidR="00DD691A" w:rsidRPr="00962FDD">
        <w:rPr>
          <w:bCs/>
          <w:color w:val="auto"/>
        </w:rPr>
        <w:t>hosting a shared, centralized, community infrastructure for cybersecurity workforce development. P</w:t>
      </w:r>
      <w:r w:rsidRPr="00962FDD">
        <w:rPr>
          <w:bCs/>
          <w:color w:val="auto"/>
        </w:rPr>
        <w:t>artner</w:t>
      </w:r>
      <w:r w:rsidR="00DD691A" w:rsidRPr="00962FDD">
        <w:rPr>
          <w:bCs/>
          <w:color w:val="auto"/>
        </w:rPr>
        <w:t>ing</w:t>
      </w:r>
      <w:r w:rsidRPr="00962FDD">
        <w:rPr>
          <w:bCs/>
          <w:color w:val="auto"/>
        </w:rPr>
        <w:t xml:space="preserve"> with educational institutions, community groups, and industry leaders to </w:t>
      </w:r>
      <w:r w:rsidR="00DD691A" w:rsidRPr="00962FDD">
        <w:rPr>
          <w:bCs/>
          <w:color w:val="auto"/>
        </w:rPr>
        <w:t>the project</w:t>
      </w:r>
      <w:r w:rsidR="00DD691A">
        <w:t xml:space="preserve"> provides</w:t>
      </w:r>
      <w:r>
        <w:t xml:space="preserve"> a more inclusive and accessible gateway to the cybersecurity community through </w:t>
      </w:r>
      <w:r w:rsidR="00DD691A">
        <w:t xml:space="preserve">shared </w:t>
      </w:r>
      <w:r>
        <w:t>virtual events, community-developed challenges, and access to subject matter experts</w:t>
      </w:r>
      <w:r>
        <w:t xml:space="preserve"> ranging from </w:t>
      </w:r>
      <w:r w:rsidR="00F5055D">
        <w:t xml:space="preserve">teenage competition hackers to CSOs. </w:t>
      </w:r>
      <w:r w:rsidRPr="00D334A0">
        <w:rPr>
          <w:bCs/>
          <w:color w:val="auto"/>
        </w:rPr>
        <w:t xml:space="preserve">The 502 Project explicitly aims to: </w:t>
      </w:r>
    </w:p>
    <w:p w14:paraId="2C8712CE" w14:textId="77777777" w:rsidR="00D334A0" w:rsidRPr="00D334A0" w:rsidRDefault="00D334A0" w:rsidP="00D334A0">
      <w:pPr>
        <w:numPr>
          <w:ilvl w:val="0"/>
          <w:numId w:val="3"/>
        </w:numPr>
        <w:spacing w:line="240" w:lineRule="auto"/>
        <w:rPr>
          <w:bCs/>
          <w:color w:val="auto"/>
        </w:rPr>
      </w:pPr>
      <w:r w:rsidRPr="00D334A0">
        <w:rPr>
          <w:bCs/>
          <w:color w:val="auto"/>
        </w:rPr>
        <w:t>Foster a scalable cybersecurity community, working towards national demographic parity in the cybersecurity workforce,</w:t>
      </w:r>
    </w:p>
    <w:p w14:paraId="54E9357D" w14:textId="77777777" w:rsidR="00D334A0" w:rsidRPr="00D334A0" w:rsidRDefault="00D334A0" w:rsidP="00D334A0">
      <w:pPr>
        <w:numPr>
          <w:ilvl w:val="0"/>
          <w:numId w:val="3"/>
        </w:numPr>
        <w:spacing w:line="240" w:lineRule="auto"/>
        <w:rPr>
          <w:bCs/>
          <w:color w:val="auto"/>
        </w:rPr>
      </w:pPr>
      <w:r w:rsidRPr="00D334A0">
        <w:rPr>
          <w:bCs/>
          <w:color w:val="auto"/>
        </w:rPr>
        <w:t xml:space="preserve">Connect employment and training opportunities with qualified </w:t>
      </w:r>
      <w:proofErr w:type="gramStart"/>
      <w:r w:rsidRPr="00D334A0">
        <w:rPr>
          <w:bCs/>
          <w:color w:val="auto"/>
        </w:rPr>
        <w:t>aspirants</w:t>
      </w:r>
      <w:proofErr w:type="gramEnd"/>
    </w:p>
    <w:p w14:paraId="11B5CF49" w14:textId="77777777" w:rsidR="00D334A0" w:rsidRPr="00D334A0" w:rsidRDefault="00D334A0" w:rsidP="00D334A0">
      <w:pPr>
        <w:numPr>
          <w:ilvl w:val="0"/>
          <w:numId w:val="3"/>
        </w:numPr>
        <w:spacing w:line="240" w:lineRule="auto"/>
        <w:rPr>
          <w:bCs/>
          <w:color w:val="auto"/>
        </w:rPr>
      </w:pPr>
      <w:r w:rsidRPr="00D334A0">
        <w:rPr>
          <w:bCs/>
          <w:color w:val="auto"/>
        </w:rPr>
        <w:t xml:space="preserve">Provide a centralized online social platform supporting cybersecurity training and </w:t>
      </w:r>
      <w:proofErr w:type="gramStart"/>
      <w:r w:rsidRPr="00D334A0">
        <w:rPr>
          <w:bCs/>
          <w:color w:val="auto"/>
        </w:rPr>
        <w:t>education</w:t>
      </w:r>
      <w:proofErr w:type="gramEnd"/>
    </w:p>
    <w:p w14:paraId="31FF148D" w14:textId="0DCFEE35" w:rsidR="00D334A0" w:rsidRDefault="00D334A0" w:rsidP="00D334A0">
      <w:pPr>
        <w:numPr>
          <w:ilvl w:val="0"/>
          <w:numId w:val="3"/>
        </w:numPr>
        <w:spacing w:line="240" w:lineRule="auto"/>
        <w:rPr>
          <w:bCs/>
          <w:color w:val="auto"/>
        </w:rPr>
      </w:pPr>
      <w:r w:rsidRPr="00D334A0">
        <w:rPr>
          <w:bCs/>
          <w:color w:val="auto"/>
        </w:rPr>
        <w:t xml:space="preserve">Interconnect local communities and talent to national audiences, events, and </w:t>
      </w:r>
      <w:proofErr w:type="gramStart"/>
      <w:r w:rsidRPr="00D334A0">
        <w:rPr>
          <w:bCs/>
          <w:color w:val="auto"/>
        </w:rPr>
        <w:t>opportunities</w:t>
      </w:r>
      <w:proofErr w:type="gramEnd"/>
    </w:p>
    <w:p w14:paraId="04006EA0" w14:textId="77777777" w:rsidR="00962FDD" w:rsidRDefault="00962FDD" w:rsidP="00962FDD">
      <w:pPr>
        <w:spacing w:line="240" w:lineRule="auto"/>
        <w:ind w:left="0" w:firstLine="0"/>
        <w:rPr>
          <w:bCs/>
          <w:color w:val="auto"/>
        </w:rPr>
      </w:pPr>
    </w:p>
    <w:p w14:paraId="1A8CFBFF" w14:textId="28D2D0AE" w:rsidR="00184EE9" w:rsidRPr="00962FDD" w:rsidRDefault="00962FDD" w:rsidP="00962FDD">
      <w:pPr>
        <w:spacing w:line="240" w:lineRule="auto"/>
        <w:ind w:left="0" w:firstLine="0"/>
        <w:rPr>
          <w:bCs/>
          <w:color w:val="auto"/>
        </w:rPr>
      </w:pPr>
      <w:r w:rsidRPr="00962FDD">
        <w:rPr>
          <w:bCs/>
          <w:color w:val="auto"/>
        </w:rPr>
        <w:t xml:space="preserve">Working with the 502 Project will connect all camp participants – including volunteers, educators, faculty, </w:t>
      </w:r>
      <w:r>
        <w:rPr>
          <w:bCs/>
          <w:color w:val="auto"/>
        </w:rPr>
        <w:t xml:space="preserve">and speakers – into a larger, persistent, centralized community including other camps, trainings, and events throughout the year. </w:t>
      </w:r>
      <w:r w:rsidR="00C746FA">
        <w:rPr>
          <w:bCs/>
          <w:color w:val="auto"/>
        </w:rPr>
        <w:t xml:space="preserve">This partnership will deepen connection to the broader CAE and </w:t>
      </w:r>
      <w:proofErr w:type="spellStart"/>
      <w:r w:rsidR="00C746FA">
        <w:rPr>
          <w:bCs/>
          <w:color w:val="auto"/>
        </w:rPr>
        <w:t>GenCyber</w:t>
      </w:r>
      <w:proofErr w:type="spellEnd"/>
      <w:r w:rsidR="00C746FA">
        <w:rPr>
          <w:bCs/>
          <w:color w:val="auto"/>
        </w:rPr>
        <w:t xml:space="preserve"> ecosystem by interconnecting camps and funded initiatives nationwide. Additionally, the 502 Project explicitly aims at broadening access to and participation in a more broadly diverse and inclusive community, with a focus on highlighting diverse voices and facilitating interconnection points. </w:t>
      </w:r>
    </w:p>
    <w:p w14:paraId="650FA482" w14:textId="77777777" w:rsidR="00DD691A" w:rsidRDefault="00DD691A" w:rsidP="00DD691A">
      <w:pPr>
        <w:spacing w:line="240" w:lineRule="auto"/>
        <w:rPr>
          <w:bCs/>
          <w:color w:val="auto"/>
        </w:rPr>
      </w:pPr>
    </w:p>
    <w:p w14:paraId="45283F68" w14:textId="19806E75" w:rsidR="00DD691A" w:rsidRPr="007833C4" w:rsidRDefault="007833C4" w:rsidP="00DD691A">
      <w:pPr>
        <w:spacing w:line="240" w:lineRule="auto"/>
        <w:ind w:left="0" w:firstLine="0"/>
      </w:pPr>
      <w:r w:rsidRPr="00962FDD">
        <w:rPr>
          <w:bCs/>
          <w:color w:val="auto"/>
        </w:rPr>
        <w:t>T</w:t>
      </w:r>
      <w:r w:rsidRPr="00D334A0">
        <w:t>he 502 Project provides three main services: centralized social infrastructure</w:t>
      </w:r>
      <w:r>
        <w:t xml:space="preserve"> via Discord</w:t>
      </w:r>
      <w:r w:rsidRPr="00D334A0">
        <w:t>, persistent CTF-style challenges, and</w:t>
      </w:r>
      <w:r w:rsidR="00184EE9">
        <w:t xml:space="preserve"> shared</w:t>
      </w:r>
      <w:r w:rsidRPr="00D334A0">
        <w:t xml:space="preserve"> community-led virtual events. </w:t>
      </w:r>
      <w:proofErr w:type="gramStart"/>
      <w:r w:rsidRPr="00D334A0">
        <w:t>These three central services interconnect</w:t>
      </w:r>
      <w:proofErr w:type="gramEnd"/>
      <w:r w:rsidRPr="00D334A0">
        <w:t xml:space="preserve"> to drive community engagement with automated prompts to connect with people, challenges and events, all grounded in the </w:t>
      </w:r>
      <w:r w:rsidR="00381CCC">
        <w:t>NICE</w:t>
      </w:r>
      <w:r w:rsidRPr="00D334A0">
        <w:t xml:space="preserve"> </w:t>
      </w:r>
      <w:r w:rsidR="00381CCC">
        <w:t>W</w:t>
      </w:r>
      <w:r w:rsidRPr="00D334A0">
        <w:t xml:space="preserve">orkforce </w:t>
      </w:r>
      <w:r w:rsidR="00381CCC">
        <w:t>F</w:t>
      </w:r>
      <w:r w:rsidRPr="00D334A0">
        <w:t xml:space="preserve">ramework. </w:t>
      </w:r>
      <w:r w:rsidR="00DD691A">
        <w:rPr>
          <w:bCs/>
          <w:color w:val="auto"/>
        </w:rPr>
        <w:t xml:space="preserve">For the purposes of this coalition, the 502 Project will be used as a shared communications platform across partner institutions and workforce collaborators. </w:t>
      </w:r>
      <w:r w:rsidR="00381CCC">
        <w:rPr>
          <w:bCs/>
          <w:color w:val="auto"/>
        </w:rPr>
        <w:t>T</w:t>
      </w:r>
      <w:r w:rsidR="00DD691A">
        <w:rPr>
          <w:bCs/>
          <w:color w:val="auto"/>
        </w:rPr>
        <w:t>he coalition will collaborate with the 502 Project to:</w:t>
      </w:r>
    </w:p>
    <w:p w14:paraId="27DFA809" w14:textId="343DFE16" w:rsidR="007833C4" w:rsidRDefault="007833C4" w:rsidP="007833C4">
      <w:pPr>
        <w:pStyle w:val="ListParagraph"/>
        <w:numPr>
          <w:ilvl w:val="0"/>
          <w:numId w:val="5"/>
        </w:numPr>
        <w:spacing w:line="240" w:lineRule="auto"/>
        <w:rPr>
          <w:bCs/>
          <w:color w:val="auto"/>
        </w:rPr>
      </w:pPr>
      <w:r>
        <w:rPr>
          <w:bCs/>
          <w:color w:val="auto"/>
        </w:rPr>
        <w:t>Provide a</w:t>
      </w:r>
      <w:r>
        <w:rPr>
          <w:bCs/>
          <w:color w:val="auto"/>
        </w:rPr>
        <w:t>ccess to a</w:t>
      </w:r>
      <w:r>
        <w:rPr>
          <w:bCs/>
          <w:color w:val="auto"/>
        </w:rPr>
        <w:t xml:space="preserve"> centralized</w:t>
      </w:r>
      <w:r>
        <w:rPr>
          <w:bCs/>
          <w:color w:val="auto"/>
        </w:rPr>
        <w:t>, fully compliant, intergenerational Discord</w:t>
      </w:r>
      <w:r>
        <w:rPr>
          <w:bCs/>
          <w:color w:val="auto"/>
        </w:rPr>
        <w:t xml:space="preserve"> community </w:t>
      </w:r>
      <w:r>
        <w:rPr>
          <w:bCs/>
          <w:color w:val="auto"/>
        </w:rPr>
        <w:t xml:space="preserve">platform, with customized channels, icons, and emotes for each coalition </w:t>
      </w:r>
      <w:proofErr w:type="gramStart"/>
      <w:r>
        <w:rPr>
          <w:bCs/>
          <w:color w:val="auto"/>
        </w:rPr>
        <w:t>partner</w:t>
      </w:r>
      <w:proofErr w:type="gramEnd"/>
    </w:p>
    <w:p w14:paraId="21B1D0EE" w14:textId="7D03E8CF" w:rsidR="007833C4" w:rsidRPr="007833C4" w:rsidRDefault="007833C4" w:rsidP="007833C4">
      <w:pPr>
        <w:pStyle w:val="ListParagraph"/>
        <w:numPr>
          <w:ilvl w:val="0"/>
          <w:numId w:val="5"/>
        </w:numPr>
        <w:spacing w:line="240" w:lineRule="auto"/>
        <w:rPr>
          <w:bCs/>
          <w:color w:val="auto"/>
        </w:rPr>
      </w:pPr>
      <w:r>
        <w:rPr>
          <w:bCs/>
          <w:color w:val="auto"/>
        </w:rPr>
        <w:t xml:space="preserve">Provide virtual SME and student support and moderation through each </w:t>
      </w:r>
      <w:proofErr w:type="gramStart"/>
      <w:r>
        <w:rPr>
          <w:bCs/>
          <w:color w:val="auto"/>
        </w:rPr>
        <w:t>camp</w:t>
      </w:r>
      <w:proofErr w:type="gramEnd"/>
    </w:p>
    <w:p w14:paraId="4C971430" w14:textId="6FB5ADF6" w:rsidR="00DD691A" w:rsidRDefault="00DD691A" w:rsidP="00DD691A">
      <w:pPr>
        <w:pStyle w:val="ListParagraph"/>
        <w:numPr>
          <w:ilvl w:val="0"/>
          <w:numId w:val="5"/>
        </w:numPr>
        <w:spacing w:line="240" w:lineRule="auto"/>
        <w:rPr>
          <w:bCs/>
          <w:color w:val="auto"/>
        </w:rPr>
      </w:pPr>
      <w:r>
        <w:rPr>
          <w:bCs/>
          <w:color w:val="auto"/>
        </w:rPr>
        <w:t xml:space="preserve">Assist with industry and community coalition </w:t>
      </w:r>
      <w:proofErr w:type="gramStart"/>
      <w:r>
        <w:rPr>
          <w:bCs/>
          <w:color w:val="auto"/>
        </w:rPr>
        <w:t>building</w:t>
      </w:r>
      <w:proofErr w:type="gramEnd"/>
    </w:p>
    <w:p w14:paraId="4C235835" w14:textId="20ADEA48" w:rsidR="00DD691A" w:rsidRDefault="007833C4" w:rsidP="00DD691A">
      <w:pPr>
        <w:pStyle w:val="ListParagraph"/>
        <w:numPr>
          <w:ilvl w:val="0"/>
          <w:numId w:val="5"/>
        </w:numPr>
        <w:spacing w:line="240" w:lineRule="auto"/>
        <w:rPr>
          <w:bCs/>
          <w:color w:val="auto"/>
        </w:rPr>
      </w:pPr>
      <w:r>
        <w:rPr>
          <w:bCs/>
          <w:color w:val="auto"/>
        </w:rPr>
        <w:t>Assist with identification or development of</w:t>
      </w:r>
      <w:r w:rsidR="00DD691A">
        <w:rPr>
          <w:bCs/>
          <w:color w:val="auto"/>
        </w:rPr>
        <w:t xml:space="preserve"> shared curricula and challenges</w:t>
      </w:r>
      <w:r w:rsidR="00201CB2">
        <w:rPr>
          <w:bCs/>
          <w:color w:val="auto"/>
        </w:rPr>
        <w:t xml:space="preserve"> (including lesson plans and camp scheduling)</w:t>
      </w:r>
    </w:p>
    <w:p w14:paraId="068E02E8" w14:textId="65BE2C8F" w:rsidR="00DD691A" w:rsidRDefault="00DD691A" w:rsidP="00DD691A">
      <w:pPr>
        <w:pStyle w:val="ListParagraph"/>
        <w:numPr>
          <w:ilvl w:val="0"/>
          <w:numId w:val="5"/>
        </w:numPr>
        <w:spacing w:line="240" w:lineRule="auto"/>
        <w:rPr>
          <w:bCs/>
          <w:color w:val="auto"/>
        </w:rPr>
      </w:pPr>
      <w:r>
        <w:rPr>
          <w:bCs/>
          <w:color w:val="auto"/>
        </w:rPr>
        <w:t xml:space="preserve">Coordinate and host shared streaming events across </w:t>
      </w:r>
      <w:proofErr w:type="gramStart"/>
      <w:r>
        <w:rPr>
          <w:bCs/>
          <w:color w:val="auto"/>
        </w:rPr>
        <w:t>camps</w:t>
      </w:r>
      <w:proofErr w:type="gramEnd"/>
    </w:p>
    <w:p w14:paraId="68507311" w14:textId="0FC4AB18" w:rsidR="00DD691A" w:rsidRPr="007833C4" w:rsidRDefault="00DD691A" w:rsidP="007833C4">
      <w:pPr>
        <w:pStyle w:val="ListParagraph"/>
        <w:numPr>
          <w:ilvl w:val="0"/>
          <w:numId w:val="5"/>
        </w:numPr>
        <w:spacing w:line="240" w:lineRule="auto"/>
        <w:rPr>
          <w:bCs/>
          <w:color w:val="auto"/>
        </w:rPr>
      </w:pPr>
      <w:r>
        <w:rPr>
          <w:bCs/>
          <w:color w:val="auto"/>
        </w:rPr>
        <w:t xml:space="preserve">Assist with </w:t>
      </w:r>
      <w:r w:rsidR="007833C4">
        <w:rPr>
          <w:bCs/>
          <w:color w:val="auto"/>
        </w:rPr>
        <w:t>pre- and post- camp communication and activities (including at least one pre-camp virtual onboarding event and one post-camp debriefing)</w:t>
      </w:r>
    </w:p>
    <w:p w14:paraId="7FE803AA" w14:textId="77777777" w:rsidR="00D334A0" w:rsidRDefault="00D334A0" w:rsidP="00D334A0">
      <w:pPr>
        <w:spacing w:line="240" w:lineRule="auto"/>
        <w:ind w:left="0" w:firstLine="0"/>
        <w:rPr>
          <w:bCs/>
          <w:color w:val="auto"/>
        </w:rPr>
      </w:pPr>
    </w:p>
    <w:p w14:paraId="6965544C" w14:textId="4B017F08" w:rsidR="00D334A0" w:rsidRDefault="00D334A0" w:rsidP="00D334A0">
      <w:pPr>
        <w:spacing w:line="240" w:lineRule="auto"/>
        <w:ind w:left="0" w:firstLine="0"/>
        <w:rPr>
          <w:bCs/>
          <w:color w:val="auto"/>
        </w:rPr>
      </w:pPr>
      <w:r w:rsidRPr="00D334A0">
        <w:rPr>
          <w:bCs/>
          <w:color w:val="auto"/>
        </w:rPr>
        <w:t>Through centralized virtual events, interconnected event support, and ongoing challenges, the project works to make the cybersecurity workforce more accessible, more inclusive, and more broadly participatory. Partner institutions will leverage the 502 platform to enhance their existing cybersecurity education offering</w:t>
      </w:r>
      <w:r w:rsidR="007833C4">
        <w:rPr>
          <w:bCs/>
          <w:color w:val="auto"/>
        </w:rPr>
        <w:t>s</w:t>
      </w:r>
      <w:r w:rsidRPr="00D334A0">
        <w:rPr>
          <w:bCs/>
          <w:color w:val="auto"/>
        </w:rPr>
        <w:t>, ultimately building a mo</w:t>
      </w:r>
      <w:r w:rsidR="007833C4">
        <w:rPr>
          <w:bCs/>
          <w:color w:val="auto"/>
        </w:rPr>
        <w:t>re</w:t>
      </w:r>
      <w:r w:rsidRPr="00D334A0">
        <w:rPr>
          <w:bCs/>
          <w:color w:val="auto"/>
        </w:rPr>
        <w:t xml:space="preserve"> inclusive cybersecurity workforce pipeline. The 502 </w:t>
      </w:r>
      <w:r w:rsidRPr="00D334A0">
        <w:rPr>
          <w:bCs/>
          <w:color w:val="auto"/>
        </w:rPr>
        <w:lastRenderedPageBreak/>
        <w:t>Project is specifically intended to highlight and extend cybersecurity education efforts at partnering universities and state colleges, expanding the reach and scale of locally developed curricula, maintaining connections between faculty and students, and providing access to centralized events and curricula resources.</w:t>
      </w:r>
    </w:p>
    <w:sectPr w:rsidR="00D33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358E5"/>
    <w:multiLevelType w:val="hybridMultilevel"/>
    <w:tmpl w:val="0A8E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F16DD"/>
    <w:multiLevelType w:val="multilevel"/>
    <w:tmpl w:val="9E7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D02ED"/>
    <w:multiLevelType w:val="hybridMultilevel"/>
    <w:tmpl w:val="C820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40B69"/>
    <w:multiLevelType w:val="hybridMultilevel"/>
    <w:tmpl w:val="7DC0969E"/>
    <w:lvl w:ilvl="0" w:tplc="884649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9B4ACB"/>
    <w:multiLevelType w:val="hybridMultilevel"/>
    <w:tmpl w:val="0168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261897">
    <w:abstractNumId w:val="0"/>
  </w:num>
  <w:num w:numId="2" w16cid:durableId="1107388162">
    <w:abstractNumId w:val="4"/>
  </w:num>
  <w:num w:numId="3" w16cid:durableId="1325089534">
    <w:abstractNumId w:val="1"/>
  </w:num>
  <w:num w:numId="4" w16cid:durableId="1776827504">
    <w:abstractNumId w:val="3"/>
  </w:num>
  <w:num w:numId="5" w16cid:durableId="1907690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A0"/>
    <w:rsid w:val="00184EE9"/>
    <w:rsid w:val="001D0E4E"/>
    <w:rsid w:val="00201CB2"/>
    <w:rsid w:val="00381CCC"/>
    <w:rsid w:val="00502B02"/>
    <w:rsid w:val="006E1D4C"/>
    <w:rsid w:val="007833C4"/>
    <w:rsid w:val="00962FDD"/>
    <w:rsid w:val="009C305A"/>
    <w:rsid w:val="00C746FA"/>
    <w:rsid w:val="00D334A0"/>
    <w:rsid w:val="00DD691A"/>
    <w:rsid w:val="00E27BE1"/>
    <w:rsid w:val="00F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CB1E4"/>
  <w15:chartTrackingRefBased/>
  <w15:docId w15:val="{DA5B3BC3-CCA0-A549-A5AB-0F01B73C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4A0"/>
    <w:pPr>
      <w:spacing w:after="4" w:line="250" w:lineRule="auto"/>
      <w:ind w:left="369" w:hanging="369"/>
    </w:pPr>
    <w:rPr>
      <w:rFonts w:ascii="Calibri" w:eastAsia="Calibri" w:hAnsi="Calibri" w:cs="Calibri"/>
      <w:color w:val="000000"/>
      <w:kern w:val="0"/>
      <w:sz w:val="22"/>
      <w:szCs w:val="22"/>
      <w14:ligatures w14:val="none"/>
    </w:rPr>
  </w:style>
  <w:style w:type="paragraph" w:styleId="Heading1">
    <w:name w:val="heading 1"/>
    <w:basedOn w:val="Normal"/>
    <w:next w:val="Normal"/>
    <w:link w:val="Heading1Char"/>
    <w:uiPriority w:val="9"/>
    <w:qFormat/>
    <w:rsid w:val="00D334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334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334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334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334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334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334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334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334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4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334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334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334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334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334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334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334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334A0"/>
    <w:rPr>
      <w:rFonts w:eastAsiaTheme="majorEastAsia" w:cstheme="majorBidi"/>
      <w:color w:val="272727" w:themeColor="text1" w:themeTint="D8"/>
    </w:rPr>
  </w:style>
  <w:style w:type="paragraph" w:styleId="Title">
    <w:name w:val="Title"/>
    <w:basedOn w:val="Normal"/>
    <w:next w:val="Normal"/>
    <w:link w:val="TitleChar"/>
    <w:uiPriority w:val="10"/>
    <w:qFormat/>
    <w:rsid w:val="00D334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4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34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34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334A0"/>
    <w:pPr>
      <w:spacing w:before="160"/>
      <w:jc w:val="center"/>
    </w:pPr>
    <w:rPr>
      <w:i/>
      <w:iCs/>
      <w:color w:val="404040" w:themeColor="text1" w:themeTint="BF"/>
    </w:rPr>
  </w:style>
  <w:style w:type="character" w:customStyle="1" w:styleId="QuoteChar">
    <w:name w:val="Quote Char"/>
    <w:basedOn w:val="DefaultParagraphFont"/>
    <w:link w:val="Quote"/>
    <w:uiPriority w:val="29"/>
    <w:rsid w:val="00D334A0"/>
    <w:rPr>
      <w:i/>
      <w:iCs/>
      <w:color w:val="404040" w:themeColor="text1" w:themeTint="BF"/>
    </w:rPr>
  </w:style>
  <w:style w:type="paragraph" w:styleId="ListParagraph">
    <w:name w:val="List Paragraph"/>
    <w:basedOn w:val="Normal"/>
    <w:uiPriority w:val="34"/>
    <w:qFormat/>
    <w:rsid w:val="00D334A0"/>
    <w:pPr>
      <w:ind w:left="720"/>
      <w:contextualSpacing/>
    </w:pPr>
  </w:style>
  <w:style w:type="character" w:styleId="IntenseEmphasis">
    <w:name w:val="Intense Emphasis"/>
    <w:basedOn w:val="DefaultParagraphFont"/>
    <w:uiPriority w:val="21"/>
    <w:qFormat/>
    <w:rsid w:val="00D334A0"/>
    <w:rPr>
      <w:i/>
      <w:iCs/>
      <w:color w:val="0F4761" w:themeColor="accent1" w:themeShade="BF"/>
    </w:rPr>
  </w:style>
  <w:style w:type="paragraph" w:styleId="IntenseQuote">
    <w:name w:val="Intense Quote"/>
    <w:basedOn w:val="Normal"/>
    <w:next w:val="Normal"/>
    <w:link w:val="IntenseQuoteChar"/>
    <w:uiPriority w:val="30"/>
    <w:qFormat/>
    <w:rsid w:val="00D334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334A0"/>
    <w:rPr>
      <w:i/>
      <w:iCs/>
      <w:color w:val="0F4761" w:themeColor="accent1" w:themeShade="BF"/>
    </w:rPr>
  </w:style>
  <w:style w:type="character" w:styleId="IntenseReference">
    <w:name w:val="Intense Reference"/>
    <w:basedOn w:val="DefaultParagraphFont"/>
    <w:uiPriority w:val="32"/>
    <w:qFormat/>
    <w:rsid w:val="00D334A0"/>
    <w:rPr>
      <w:b/>
      <w:bCs/>
      <w:smallCaps/>
      <w:color w:val="0F4761" w:themeColor="accent1" w:themeShade="BF"/>
      <w:spacing w:val="5"/>
    </w:rPr>
  </w:style>
  <w:style w:type="character" w:styleId="CommentReference">
    <w:name w:val="annotation reference"/>
    <w:basedOn w:val="DefaultParagraphFont"/>
    <w:uiPriority w:val="99"/>
    <w:semiHidden/>
    <w:unhideWhenUsed/>
    <w:rsid w:val="00D334A0"/>
    <w:rPr>
      <w:sz w:val="16"/>
      <w:szCs w:val="16"/>
    </w:rPr>
  </w:style>
  <w:style w:type="paragraph" w:styleId="CommentText">
    <w:name w:val="annotation text"/>
    <w:basedOn w:val="Normal"/>
    <w:link w:val="CommentTextChar"/>
    <w:uiPriority w:val="99"/>
    <w:unhideWhenUsed/>
    <w:rsid w:val="00D334A0"/>
    <w:pPr>
      <w:spacing w:line="240" w:lineRule="auto"/>
    </w:pPr>
    <w:rPr>
      <w:sz w:val="20"/>
      <w:szCs w:val="20"/>
    </w:rPr>
  </w:style>
  <w:style w:type="character" w:customStyle="1" w:styleId="CommentTextChar">
    <w:name w:val="Comment Text Char"/>
    <w:basedOn w:val="DefaultParagraphFont"/>
    <w:link w:val="CommentText"/>
    <w:uiPriority w:val="99"/>
    <w:rsid w:val="00D334A0"/>
    <w:rPr>
      <w:rFonts w:ascii="Calibri" w:eastAsia="Calibri" w:hAnsi="Calibri" w:cs="Calibri"/>
      <w:color w:val="000000"/>
      <w:kern w:val="0"/>
      <w:sz w:val="20"/>
      <w:szCs w:val="20"/>
      <w14:ligatures w14:val="none"/>
    </w:rPr>
  </w:style>
  <w:style w:type="character" w:styleId="Hyperlink">
    <w:name w:val="Hyperlink"/>
    <w:basedOn w:val="DefaultParagraphFont"/>
    <w:uiPriority w:val="99"/>
    <w:unhideWhenUsed/>
    <w:rsid w:val="00D334A0"/>
    <w:rPr>
      <w:color w:val="467886" w:themeColor="hyperlink"/>
      <w:u w:val="single"/>
    </w:rPr>
  </w:style>
  <w:style w:type="character" w:styleId="UnresolvedMention">
    <w:name w:val="Unresolved Mention"/>
    <w:basedOn w:val="DefaultParagraphFont"/>
    <w:uiPriority w:val="99"/>
    <w:semiHidden/>
    <w:unhideWhenUsed/>
    <w:rsid w:val="00D334A0"/>
    <w:rPr>
      <w:color w:val="605E5C"/>
      <w:shd w:val="clear" w:color="auto" w:fill="E1DFDD"/>
    </w:rPr>
  </w:style>
  <w:style w:type="character" w:styleId="FollowedHyperlink">
    <w:name w:val="FollowedHyperlink"/>
    <w:basedOn w:val="DefaultParagraphFont"/>
    <w:uiPriority w:val="99"/>
    <w:semiHidden/>
    <w:unhideWhenUsed/>
    <w:rsid w:val="00962FD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sk@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Fisk</dc:creator>
  <cp:keywords/>
  <dc:description/>
  <cp:lastModifiedBy>Nathan Fisk</cp:lastModifiedBy>
  <cp:revision>7</cp:revision>
  <dcterms:created xsi:type="dcterms:W3CDTF">2024-04-15T17:59:00Z</dcterms:created>
  <dcterms:modified xsi:type="dcterms:W3CDTF">2024-04-16T14:20:00Z</dcterms:modified>
</cp:coreProperties>
</file>